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9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86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9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B94FEE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2130601663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0601663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9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CA0CB1">
            <w:pPr>
              <w:pStyle w:val="EMPTYCELLSTYLE"/>
            </w:pPr>
          </w:p>
        </w:tc>
        <w:tc>
          <w:tcPr>
            <w:tcW w:w="386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9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86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9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86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850.24.00477 Профессиональная уборка - клининговые услуги</w:t>
            </w: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47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CA0CB1">
                        <w:pPr>
                          <w:ind w:firstLine="100"/>
                        </w:pP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продукции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CA0CB1">
                        <w:pPr>
                          <w:ind w:firstLine="100"/>
                        </w:pP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CA0CB1">
                        <w:pPr>
                          <w:ind w:firstLine="100"/>
                        </w:pP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плановой стоимостью корзины товаров)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CA0CB1">
                        <w:pPr>
                          <w:ind w:firstLine="100"/>
                        </w:pP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32%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668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28%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B94FEE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сумма </w:t>
                  </w:r>
                  <w:r>
                    <w:rPr>
                      <w:color w:val="000000"/>
                      <w:sz w:val="24"/>
                    </w:rPr>
                    <w:t>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7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126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 Присвоение баллов заявкам по критерию 3.1 «Стоимость корзины товаров (сравнение</w:t>
                  </w:r>
                  <w:r>
                    <w:rPr>
                      <w:color w:val="000000"/>
                      <w:sz w:val="24"/>
                    </w:rPr>
                    <w:t xml:space="preserve"> с плановой стоимостью корзины товаров (работ, услуг))»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</w:t>
                  </w:r>
                  <w:r>
                    <w:rPr>
                      <w:color w:val="000000"/>
                      <w:sz w:val="24"/>
                    </w:rPr>
                    <w:t>й оценки: если хотя бы у одного участника стоимость корзины товара (работы, услуги), предложенная участником (далее – ЦКТ) меньше плановой стоимости корзины товаров (работ, услуг)  (далее – ПЛАН), то шкала оценок от 1 до 5, плановая сумма ПЛАН - 2 балла (с</w:t>
                  </w:r>
                  <w:r>
                    <w:rPr>
                      <w:color w:val="000000"/>
                      <w:sz w:val="24"/>
                    </w:rPr>
                    <w:t>ценарий 1), если все значения не меньше ЦКТ, то шкала оценок от 1 до 3, плановая сумма ПЛАН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 &lt;ПЛАН;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ЦКТ участника и ПЛАН: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 / П</w:t>
                  </w:r>
                  <w:r>
                    <w:rPr>
                      <w:color w:val="000000"/>
                      <w:sz w:val="24"/>
                    </w:rPr>
                    <w:t>ЛАН)&gt;1;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ЦКТ участника равна ПЛАН,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ЦКТ участника больше ПЛАН.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(ЦКТ=МАКС(ДИ</w:t>
                  </w:r>
                  <w:r>
                    <w:rPr>
                      <w:color w:val="000000"/>
                      <w:sz w:val="24"/>
                    </w:rPr>
                    <w:t>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ЦЕК)/(МАКС(ДИАПАЗОН)- ПЛАН)) 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ЦКТ участника меньше ПЛАН. Проверяется, есть ли предложения участника меньше ПЛАН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ПЛАН) 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минимальное предложение меньше ПЛАН на </w:t>
                  </w:r>
                  <w:r>
                    <w:rPr>
                      <w:color w:val="000000"/>
                      <w:sz w:val="24"/>
                    </w:rPr>
                    <w:t>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ЕСЛИ(ЦКТ=МИН(ДИАПАЗОН)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((ПЛАН -ЦКТ) *3/ (ПЛАН -МИН(ДИАПАЗОН))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ПЛАН на 30%, то максимальному баллу 5 соответствует сумма ПЛАН ми</w:t>
                  </w:r>
                  <w:r>
                    <w:rPr>
                      <w:color w:val="000000"/>
                      <w:sz w:val="24"/>
                    </w:rPr>
                    <w:t>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((ПЛАН -ЦКТ)/(ПЛАН)*10)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ЦКТ равной плановой сумме ПЛАН.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 =МАКС(ДИАПАЗОН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ЦКТ) *2/(МАКС(ДИАПАЗОН)- ПЛАН)) +1);</w:t>
                  </w: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  <w:t>4.4.1.  Присвоени</w:t>
                  </w:r>
                  <w:r>
                    <w:rPr>
                      <w:color w:val="000000"/>
                      <w:sz w:val="24"/>
                    </w:rPr>
                    <w:t>е баллов заявкам по критерию 4.1 Опыт оказания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4.1 Опыт оказ</w:t>
                  </w:r>
                  <w:r>
                    <w:rPr>
                      <w:color w:val="000000"/>
                      <w:sz w:val="24"/>
                    </w:rPr>
                    <w:t>ания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</w:t>
                  </w:r>
                  <w:r>
                    <w:rPr>
                      <w:color w:val="000000"/>
                      <w:sz w:val="24"/>
                    </w:rPr>
                    <w:t>етом значимости) по подкритериям критерия 4.2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  <w:t>4.4.2.1.  Присвоение баллов зая</w:t>
                  </w:r>
                  <w:r>
                    <w:rPr>
                      <w:color w:val="000000"/>
                      <w:sz w:val="24"/>
                    </w:rPr>
                    <w:t>вкам по критерию 4.2.1 Добровольные системы подтверждения квалификации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</w:t>
                  </w:r>
                  <w:r>
                    <w:rPr>
                      <w:color w:val="000000"/>
                      <w:sz w:val="24"/>
                    </w:rPr>
                    <w:t xml:space="preserve"> учетом значимости) по подкритериям критерия 4.2.1 Добровольные системы подтверждения квалификации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4.2.1.</w:t>
                  </w: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3.</w:t>
                  </w: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</w:t>
                  </w:r>
                  <w:r>
                    <w:rPr>
                      <w:color w:val="000000"/>
                      <w:sz w:val="24"/>
                    </w:rPr>
                    <w:t>я критерия 4.4.</w:t>
                  </w: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A0CB1" w:rsidRDefault="00B94FEE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</w:t>
                  </w:r>
                  <w:r>
                    <w:rPr>
                      <w:color w:val="000000"/>
                      <w:sz w:val="24"/>
                    </w:rPr>
                    <w:t>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B94FEE">
            <w:r>
              <w:rPr>
                <w:color w:val="000000"/>
                <w:sz w:val="24"/>
              </w:rPr>
              <w:br/>
              <w:t xml:space="preserve"> 5.  На основании результатов оценки заявок закупочной/конкурсной коми</w:t>
            </w:r>
            <w:r>
              <w:rPr>
                <w:color w:val="000000"/>
                <w:sz w:val="24"/>
              </w:rPr>
              <w:t>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считается содержащей лучшие услови</w:t>
            </w:r>
            <w:r>
              <w:rPr>
                <w:color w:val="000000"/>
                <w:sz w:val="24"/>
              </w:rPr>
              <w:t xml:space="preserve">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(зарегистрированной на электронной </w:t>
            </w:r>
            <w:r>
              <w:rPr>
                <w:color w:val="000000"/>
                <w:sz w:val="24"/>
              </w:rPr>
              <w:t xml:space="preserve">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оценивает критерии, информ</w:t>
            </w:r>
            <w:r>
              <w:rPr>
                <w:color w:val="000000"/>
                <w:sz w:val="24"/>
              </w:rPr>
              <w:t xml:space="preserve">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</w:t>
            </w:r>
            <w:r>
              <w:rPr>
                <w:color w:val="000000"/>
                <w:sz w:val="24"/>
              </w:rPr>
              <w:t>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CA0CB1" w:rsidRDefault="00CA0CB1">
            <w:pPr>
              <w:pStyle w:val="EMPTYCELLSTYLE"/>
            </w:pPr>
          </w:p>
        </w:tc>
      </w:tr>
    </w:tbl>
    <w:p w:rsidR="00CA0CB1" w:rsidRDefault="00CA0CB1">
      <w:pPr>
        <w:sectPr w:rsidR="00CA0CB1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Лот №: 850.24.00477</w:t>
            </w:r>
          </w:p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Финансово-</w:t>
            </w:r>
            <w:proofErr w:type="gramStart"/>
            <w:r>
              <w:rPr>
                <w:b/>
                <w:color w:val="000000"/>
                <w:sz w:val="24"/>
              </w:rPr>
              <w:t>экономическая  экспертиза</w:t>
            </w:r>
            <w:proofErr w:type="gramEnd"/>
          </w:p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bookmarkStart w:id="0" w:name="JR_PAGE_ANCHOR_0_1"/>
                  <w:bookmarkEnd w:id="0"/>
                </w:p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CA0CB1" w:rsidRDefault="00CA0CB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</w:t>
                        </w:r>
                        <w:r>
                          <w:rPr>
                            <w:color w:val="000000"/>
                            <w:sz w:val="24"/>
                          </w:rPr>
                          <w:t>кой устойчивости участников закупочных процедур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Лот №: 850.24.00477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B94FEE">
                  <w:r>
                    <w:br w:type="page"/>
                  </w:r>
                </w:p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bookmarkStart w:id="2" w:name="JR_PAGE_ANCHOR_0_3"/>
                  <w:bookmarkEnd w:id="2"/>
                </w:p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8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8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8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>
            <w:pPr>
              <w:jc w:val="center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8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34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–  5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плановой стоимостью корзины товаров)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B94FEE">
                  <w:r>
                    <w:br w:type="page"/>
                  </w:r>
                </w:p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bookmarkStart w:id="3" w:name="JR_PAGE_ANCHOR_0_4"/>
                  <w:bookmarkEnd w:id="3"/>
                </w:p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Лот №: 850.24.00477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B94FEE">
                  <w:r>
                    <w:br w:type="page"/>
                  </w:r>
                </w:p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bookmarkStart w:id="4" w:name="JR_PAGE_ANCHOR_0_5"/>
                  <w:bookmarkEnd w:id="4"/>
                </w:p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CA0CB1" w:rsidRDefault="00CA0CB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-  Неприемлемая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Лот №: 850.24.00477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B94FEE">
                  <w:r>
                    <w:br w:type="page"/>
                  </w:r>
                </w:p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bookmarkStart w:id="6" w:name="JR_PAGE_ANCHOR_0_7"/>
                  <w:bookmarkEnd w:id="6"/>
                </w:p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CA0CB1" w:rsidRDefault="00CA0CB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884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оказываемых им услуг, либо объем и/или качество оказываемых им услуг не соответствуют  минимальным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оказываемых услуг. В случае обязательного наличия требования о предоставлении сертификата(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>), подтверждающего(их) качество услуг, такой док</w:t>
                        </w:r>
                        <w:r>
                          <w:rPr>
                            <w:color w:val="000000"/>
                            <w:sz w:val="24"/>
                          </w:rPr>
                          <w:t>умент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требованиям  Закупочной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оказываемых услуг.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</w:t>
                        </w:r>
                        <w:r>
                          <w:rPr>
                            <w:color w:val="000000"/>
                            <w:sz w:val="24"/>
                          </w:rPr>
                          <w:t>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оказания услуг, либо предложенные временные параметры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 оказания услуг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оказания услуг участника  улучшают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Лот №: 850.24.00477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B94FEE">
                  <w:r>
                    <w:br w:type="page"/>
                  </w:r>
                </w:p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bookmarkStart w:id="8" w:name="JR_PAGE_ANCHOR_0_9"/>
                  <w:bookmarkEnd w:id="8"/>
                </w:p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CA0CB1" w:rsidRDefault="00CA0CB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Непредставление документов, установленных требованиями Закупочной документ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ации и/или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представление документов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описании оценк</w:t>
                        </w:r>
                        <w:r>
                          <w:rPr>
                            <w:color w:val="000000"/>
                            <w:sz w:val="24"/>
                          </w:rPr>
                          <w:t>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 справок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Диапазон не используется для оценки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 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Диапазон не используется для оценки.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</w:t>
                        </w:r>
                        <w:r>
                          <w:rPr>
                            <w:color w:val="000000"/>
                            <w:sz w:val="24"/>
                          </w:rPr>
                          <w:t>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Лот №: 850.24.00477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CA0CB1"/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A0CB1" w:rsidRDefault="00CA0CB1">
            <w:pPr>
              <w:pStyle w:val="EMPTYCELLSTYLE"/>
            </w:pPr>
          </w:p>
        </w:tc>
        <w:tc>
          <w:tcPr>
            <w:tcW w:w="200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A0CB1" w:rsidRDefault="00CA0CB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B94FEE">
                  <w:r>
                    <w:br w:type="page"/>
                  </w:r>
                </w:p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/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bookmarkStart w:id="10" w:name="JR_PAGE_ANCHOR_0_11"/>
                  <w:bookmarkEnd w:id="10"/>
                </w:p>
                <w:p w:rsidR="00CA0CB1" w:rsidRDefault="00B94FEE">
                  <w:r>
                    <w:br w:type="page"/>
                  </w:r>
                </w:p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20" w:type="dxa"/>
          </w:tcPr>
          <w:p w:rsidR="00CA0CB1" w:rsidRDefault="00CA0CB1">
            <w:pPr>
              <w:pStyle w:val="EMPTYCELLSTYLE"/>
            </w:pPr>
          </w:p>
        </w:tc>
        <w:tc>
          <w:tcPr>
            <w:tcW w:w="320" w:type="dxa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9800" w:type="dxa"/>
            <w:gridSpan w:val="6"/>
          </w:tcPr>
          <w:p w:rsidR="00CA0CB1" w:rsidRDefault="00CA0CB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CB1" w:rsidRDefault="00B94FE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968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 , либо представленный опыт ниже минимальных обязательных требований, указанных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оказания услуг соответствует минимальным обязательным т</w:t>
                        </w:r>
                        <w:r>
                          <w:rPr>
                            <w:color w:val="000000"/>
                            <w:sz w:val="24"/>
                          </w:rPr>
                          <w:t>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оказания услуг превышает  минимальные обязательные требования закупочной документации ИЛИ опыт оказания услуг соответствует минимальным обязательным требованиям закупочной документации и подтверждены желате</w:t>
                        </w:r>
                        <w:r>
                          <w:rPr>
                            <w:color w:val="000000"/>
                            <w:sz w:val="24"/>
                          </w:rPr>
                          <w:t>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оказания услуг превышает  минимальные обязательные требования закупочной документации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</w:t>
                        </w:r>
                        <w:r>
                          <w:rPr>
                            <w:color w:val="000000"/>
                            <w:sz w:val="24"/>
                          </w:rPr>
                          <w:t>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Материальные ресурсы участника ниже минимальных обязательных требований, указанных в закупочной документации или сведения не представлены.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имеет материальные ресурсы, соответствующие минимальным обязательным требованиям</w:t>
                        </w:r>
                        <w:bookmarkStart w:id="12" w:name="_GoBack"/>
                        <w:bookmarkEnd w:id="12"/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Материальные ресурсы Участника  соответствуют минимальным обязательным </w:t>
                        </w:r>
                        <w:r>
                          <w:rPr>
                            <w:color w:val="000000"/>
                            <w:sz w:val="24"/>
                          </w:rPr>
                          <w:t>требованиям закупочной документации и подтверждено одно желательное требование по материальным ресурсам,  указанное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Материальные ресурсы Участника  соответствуют минимальным обязательным требованиям закупочной документа</w:t>
                        </w:r>
                        <w:r>
                          <w:rPr>
                            <w:color w:val="000000"/>
                            <w:sz w:val="24"/>
                          </w:rPr>
                          <w:t>ции и подтверждено два и более  желательных требования по материальным ресурсам,  указанных в закупочной документации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886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Наличие и квалификация персонала ниже минимальных обязательных требований закупочной документации, либо сведения не представлены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Наличие и квалификация персонала соответствует минимал</w:t>
                        </w:r>
                        <w:r>
                          <w:rPr>
                            <w:color w:val="000000"/>
                            <w:sz w:val="24"/>
                          </w:rPr>
                          <w:t>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персонала,  ука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персонала, указанных в закуп</w:t>
                        </w:r>
                        <w:r>
                          <w:rPr>
                            <w:color w:val="000000"/>
                            <w:sz w:val="24"/>
                          </w:rPr>
                          <w:t>очной документации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 Участника, требуемых в ТЗ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A0CB1" w:rsidRDefault="00CA0CB1">
            <w:pPr>
              <w:pStyle w:val="EMPTYCELLSTYLE"/>
              <w:pageBreakBefore/>
            </w:pPr>
            <w:bookmarkStart w:id="14" w:name="JR_PAGE_ANCHOR_0_14"/>
            <w:bookmarkEnd w:id="14"/>
          </w:p>
        </w:tc>
        <w:tc>
          <w:tcPr>
            <w:tcW w:w="16100" w:type="dxa"/>
            <w:gridSpan w:val="15"/>
          </w:tcPr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  <w:tr w:rsidR="00CA0CB1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CA0CB1" w:rsidRDefault="00CA0CB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  <w:tr w:rsidR="00CA0C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B94FE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действующего свидетельства об аккредитации в качестве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От 3 до 5 баллов рассчитывается по формуле: 2 + Ау (но не более 5 ба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ллов) где, Ау - кол-во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A0CB1" w:rsidRDefault="00B94FE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CA0CB1" w:rsidRDefault="00CA0CB1">
                        <w:pPr>
                          <w:pStyle w:val="EMPTYCELLSTYLE"/>
                        </w:pPr>
                      </w:p>
                    </w:tc>
                  </w:tr>
                  <w:tr w:rsidR="00CA0CB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A0CB1" w:rsidRDefault="00CA0CB1"/>
                    </w:tc>
                  </w:tr>
                </w:tbl>
                <w:p w:rsidR="00CA0CB1" w:rsidRDefault="00CA0CB1">
                  <w:pPr>
                    <w:pStyle w:val="EMPTYCELLSTYLE"/>
                  </w:pPr>
                </w:p>
              </w:tc>
            </w:tr>
          </w:tbl>
          <w:p w:rsidR="00CA0CB1" w:rsidRDefault="00CA0CB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A0CB1" w:rsidRDefault="00CA0CB1">
            <w:pPr>
              <w:pStyle w:val="EMPTYCELLSTYLE"/>
            </w:pPr>
          </w:p>
        </w:tc>
      </w:tr>
    </w:tbl>
    <w:p w:rsidR="00000000" w:rsidRDefault="00B94FEE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CB1"/>
    <w:rsid w:val="00B94FEE"/>
    <w:rsid w:val="00CA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8DB4B"/>
  <w15:docId w15:val="{660F6262-060B-47CC-8C51-234740428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4211</Words>
  <Characters>24004</Characters>
  <Application>Microsoft Office Word</Application>
  <DocSecurity>0</DocSecurity>
  <Lines>200</Lines>
  <Paragraphs>56</Paragraphs>
  <ScaleCrop>false</ScaleCrop>
  <Company/>
  <LinksUpToDate>false</LinksUpToDate>
  <CharactersWithSpaces>28159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Арюткин Олег Юрьевич</cp:lastModifiedBy>
  <cp:revision>2</cp:revision>
  <dcterms:created xsi:type="dcterms:W3CDTF">2024-12-23T07:53:00Z</dcterms:created>
  <dcterms:modified xsi:type="dcterms:W3CDTF">2024-12-23T07:54:00Z</dcterms:modified>
</cp:coreProperties>
</file>